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308344C"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kern w:val="2"/>
          <w:sz w:val="44"/>
          <w:szCs w:val="44"/>
          <w:highlight w:val="none"/>
        </w:rPr>
      </w:pPr>
      <w:r>
        <w:rPr>
          <w:rFonts w:hint="eastAsia" w:ascii="方正小标宋简体" w:hAnsi="方正小标宋简体" w:eastAsia="方正小标宋简体" w:cs="方正小标宋简体"/>
          <w:color w:val="auto"/>
          <w:kern w:val="2"/>
          <w:sz w:val="44"/>
          <w:szCs w:val="44"/>
          <w:highlight w:val="none"/>
        </w:rPr>
        <w:t>证券信息技术研究发展中心（上海）</w:t>
      </w:r>
    </w:p>
    <w:p w14:paraId="5605B1DA"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jc w:val="center"/>
        <w:textAlignment w:val="auto"/>
        <w:rPr>
          <w:rFonts w:ascii="黑体" w:hAnsi="黑体" w:eastAsia="黑体"/>
          <w:b/>
          <w:kern w:val="2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auto"/>
          <w:kern w:val="2"/>
          <w:sz w:val="44"/>
          <w:szCs w:val="44"/>
          <w:highlight w:val="none"/>
        </w:rPr>
        <w:t>202</w:t>
      </w:r>
      <w:r>
        <w:rPr>
          <w:rFonts w:hint="eastAsia" w:ascii="方正小标宋简体" w:hAnsi="方正小标宋简体" w:eastAsia="方正小标宋简体" w:cs="方正小标宋简体"/>
          <w:color w:val="auto"/>
          <w:kern w:val="2"/>
          <w:sz w:val="44"/>
          <w:szCs w:val="44"/>
          <w:highlight w:val="none"/>
          <w:lang w:val="en-US" w:eastAsia="zh-CN"/>
        </w:rPr>
        <w:t>5年度行业共研</w:t>
      </w:r>
      <w:r>
        <w:rPr>
          <w:rFonts w:hint="eastAsia" w:ascii="方正小标宋简体" w:hAnsi="方正小标宋简体" w:eastAsia="方正小标宋简体" w:cs="方正小标宋简体"/>
          <w:color w:val="auto"/>
          <w:kern w:val="2"/>
          <w:sz w:val="44"/>
          <w:szCs w:val="44"/>
          <w:highlight w:val="none"/>
        </w:rPr>
        <w:t>课题选题</w:t>
      </w:r>
      <w:r>
        <w:rPr>
          <w:rFonts w:hint="eastAsia" w:ascii="方正小标宋简体" w:hAnsi="方正小标宋简体" w:eastAsia="方正小标宋简体" w:cs="方正小标宋简体"/>
          <w:color w:val="auto"/>
          <w:kern w:val="2"/>
          <w:sz w:val="44"/>
          <w:szCs w:val="44"/>
          <w:highlight w:val="none"/>
          <w:lang w:val="en-US" w:eastAsia="zh-Hans"/>
        </w:rPr>
        <w:t>建议</w:t>
      </w:r>
    </w:p>
    <w:p w14:paraId="6A009C08">
      <w:pPr>
        <w:spacing w:after="0" w:line="360" w:lineRule="auto"/>
        <w:ind w:firstLine="720"/>
        <w:rPr>
          <w:rFonts w:ascii="仿宋_GB2312" w:hAnsi="仿宋" w:eastAsia="仿宋_GB2312" w:cs="Arial"/>
          <w:sz w:val="30"/>
          <w:szCs w:val="30"/>
        </w:rPr>
      </w:pPr>
    </w:p>
    <w:p w14:paraId="0E0AE6A2">
      <w:pPr>
        <w:spacing w:after="0" w:line="360" w:lineRule="auto"/>
        <w:ind w:firstLine="720"/>
        <w:rPr>
          <w:rFonts w:hint="eastAsia" w:ascii="仿宋_GB2312" w:hAnsi="仿宋" w:eastAsia="仿宋_GB2312" w:cs="微软雅黑"/>
          <w:b/>
          <w:sz w:val="32"/>
          <w:szCs w:val="32"/>
        </w:rPr>
      </w:pPr>
      <w:r>
        <w:rPr>
          <w:rFonts w:hint="eastAsia" w:ascii="仿宋_GB2312" w:hAnsi="仿宋" w:eastAsia="仿宋_GB2312" w:cs="Arial"/>
          <w:sz w:val="32"/>
          <w:szCs w:val="32"/>
        </w:rPr>
        <w:t>课题申报单位可结合自身业务需求与行业市场特点，参考</w:t>
      </w:r>
      <w:r>
        <w:rPr>
          <w:rFonts w:hint="eastAsia" w:ascii="仿宋_GB2312" w:hAnsi="仿宋" w:eastAsia="仿宋_GB2312" w:cs="Arial"/>
          <w:sz w:val="32"/>
          <w:szCs w:val="32"/>
          <w:lang w:eastAsia="zh-CN"/>
        </w:rPr>
        <w:t>本建议所列</w:t>
      </w:r>
      <w:r>
        <w:rPr>
          <w:rFonts w:hint="eastAsia" w:ascii="仿宋_GB2312" w:hAnsi="仿宋" w:eastAsia="仿宋_GB2312" w:cs="Arial"/>
          <w:sz w:val="32"/>
          <w:szCs w:val="32"/>
        </w:rPr>
        <w:t>研究领域方向拟定具体题目，</w:t>
      </w:r>
      <w:r>
        <w:rPr>
          <w:rFonts w:hint="eastAsia" w:ascii="仿宋_GB2312" w:hAnsi="仿宋" w:eastAsia="仿宋_GB2312" w:cs="Arial"/>
          <w:b w:val="0"/>
          <w:bCs/>
          <w:sz w:val="32"/>
          <w:szCs w:val="32"/>
        </w:rPr>
        <w:t>也可在本</w:t>
      </w:r>
      <w:r>
        <w:rPr>
          <w:rFonts w:hint="eastAsia" w:ascii="仿宋_GB2312" w:hAnsi="仿宋" w:eastAsia="仿宋_GB2312" w:cs="Arial"/>
          <w:b w:val="0"/>
          <w:bCs/>
          <w:sz w:val="32"/>
          <w:szCs w:val="32"/>
          <w:lang w:val="en-US" w:eastAsia="zh-Hans"/>
        </w:rPr>
        <w:t>建议</w:t>
      </w:r>
      <w:r>
        <w:rPr>
          <w:rFonts w:hint="eastAsia" w:ascii="仿宋_GB2312" w:hAnsi="仿宋" w:eastAsia="仿宋_GB2312" w:cs="Arial"/>
          <w:b w:val="0"/>
          <w:bCs/>
          <w:sz w:val="32"/>
          <w:szCs w:val="32"/>
        </w:rPr>
        <w:t>所列研究领域之外自行选题</w:t>
      </w:r>
      <w:r>
        <w:rPr>
          <w:rFonts w:hint="eastAsia" w:ascii="仿宋_GB2312" w:hAnsi="仿宋" w:eastAsia="仿宋_GB2312" w:cs="微软雅黑"/>
          <w:b w:val="0"/>
          <w:bCs/>
          <w:sz w:val="32"/>
          <w:szCs w:val="32"/>
        </w:rPr>
        <w:t>。</w:t>
      </w:r>
    </w:p>
    <w:p w14:paraId="608E58E2">
      <w:pPr>
        <w:spacing w:after="0" w:line="360" w:lineRule="auto"/>
        <w:ind w:firstLine="720"/>
        <w:rPr>
          <w:rFonts w:hint="eastAsia" w:ascii="黑体" w:hAnsi="黑体" w:eastAsia="黑体" w:cs="黑体"/>
          <w:b w:val="0"/>
          <w:bCs w:val="0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eastAsia="zh-CN"/>
        </w:rPr>
        <w:t>一、前沿技术领域</w:t>
      </w:r>
    </w:p>
    <w:p w14:paraId="6815D839">
      <w:pPr>
        <w:spacing w:after="0" w:line="360" w:lineRule="auto"/>
        <w:ind w:firstLine="720"/>
        <w:rPr>
          <w:rFonts w:hint="eastAsia" w:ascii="仿宋_GB2312" w:hAnsi="仿宋" w:eastAsia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" w:eastAsia="仿宋_GB2312"/>
          <w:b w:val="0"/>
          <w:bCs w:val="0"/>
          <w:sz w:val="32"/>
          <w:szCs w:val="32"/>
          <w:lang w:eastAsia="zh-CN"/>
        </w:rPr>
        <w:t>探索</w:t>
      </w:r>
      <w:r>
        <w:rPr>
          <w:rFonts w:hint="eastAsia" w:ascii="仿宋_GB2312" w:hAnsi="仿宋" w:eastAsia="仿宋_GB2312"/>
          <w:b w:val="0"/>
          <w:bCs w:val="0"/>
          <w:sz w:val="32"/>
          <w:szCs w:val="32"/>
          <w:lang w:val="en-US" w:eastAsia="zh-CN"/>
        </w:rPr>
        <w:t>AI</w:t>
      </w:r>
      <w:r>
        <w:rPr>
          <w:rFonts w:hint="eastAsia" w:ascii="仿宋_GB2312" w:hAnsi="仿宋" w:eastAsia="仿宋_GB2312"/>
          <w:b w:val="0"/>
          <w:bCs w:val="0"/>
          <w:sz w:val="32"/>
          <w:szCs w:val="32"/>
          <w:lang w:eastAsia="zh-CN"/>
        </w:rPr>
        <w:t>大模型以及其多模态、智能体、检索增强生成（RAG）等技术</w:t>
      </w:r>
      <w:r>
        <w:rPr>
          <w:rFonts w:hint="eastAsia" w:ascii="仿宋_GB2312" w:hAnsi="仿宋" w:eastAsia="仿宋_GB2312"/>
          <w:b w:val="0"/>
          <w:bCs w:val="0"/>
          <w:sz w:val="32"/>
          <w:szCs w:val="32"/>
          <w:lang w:val="en-US" w:eastAsia="zh-CN"/>
        </w:rPr>
        <w:t>在上市审核、公司服务、业务办理、架构管理、公司估值、监管报送、科技治理、设备管理、投研、投顾、运营、研发、测试、运维、监控等场景的应用。开展AI大模型的能力成熟度评估、提升组织效能、数据及应用安全等领域的探索与研究。应用区块链、隐私计算、联邦学习、影响力传播监测等技术以提升行业智能化水平</w:t>
      </w:r>
      <w:bookmarkStart w:id="0" w:name="_GoBack"/>
      <w:bookmarkEnd w:id="0"/>
      <w:r>
        <w:rPr>
          <w:rFonts w:hint="eastAsia" w:ascii="仿宋_GB2312" w:hAnsi="仿宋" w:eastAsia="仿宋_GB2312"/>
          <w:b w:val="0"/>
          <w:bCs w:val="0"/>
          <w:sz w:val="32"/>
          <w:szCs w:val="32"/>
          <w:lang w:val="en-US" w:eastAsia="zh-CN"/>
        </w:rPr>
        <w:t>。</w:t>
      </w:r>
    </w:p>
    <w:p w14:paraId="2DEF6D69">
      <w:pPr>
        <w:spacing w:after="0" w:line="360" w:lineRule="auto"/>
        <w:ind w:firstLine="720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二、数字化实践领域</w:t>
      </w:r>
    </w:p>
    <w:p w14:paraId="18943BE4">
      <w:pPr>
        <w:spacing w:after="0" w:line="360" w:lineRule="auto"/>
        <w:ind w:firstLine="720"/>
        <w:rPr>
          <w:rFonts w:hint="default" w:ascii="仿宋_GB2312" w:hAnsi="仿宋" w:eastAsia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" w:eastAsia="仿宋_GB2312"/>
          <w:b w:val="0"/>
          <w:bCs w:val="0"/>
          <w:sz w:val="32"/>
          <w:szCs w:val="32"/>
          <w:lang w:val="en-US" w:eastAsia="zh-CN"/>
        </w:rPr>
        <w:t>通过人工智能、云计算、大数据、低代码等技术，赋能投研投顾、合规经营、客户服务、监管审核、舆情分析、公司画像、异常检测、数字员工、知识库体系建设等应用场景，促进业务与技术的融合，强化关键技术的突破性研究，提升数字化水平。</w:t>
      </w:r>
    </w:p>
    <w:p w14:paraId="01BE9C60">
      <w:pPr>
        <w:spacing w:after="0" w:line="360" w:lineRule="auto"/>
        <w:ind w:firstLine="720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三、数据治理领域</w:t>
      </w:r>
    </w:p>
    <w:p w14:paraId="4ECEF88D">
      <w:pPr>
        <w:spacing w:after="0" w:line="360" w:lineRule="auto"/>
        <w:ind w:firstLine="720"/>
        <w:rPr>
          <w:rFonts w:hint="default" w:ascii="仿宋_GB2312" w:hAnsi="仿宋" w:eastAsia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" w:eastAsia="仿宋_GB2312"/>
          <w:b w:val="0"/>
          <w:bCs w:val="0"/>
          <w:sz w:val="32"/>
          <w:szCs w:val="32"/>
          <w:lang w:val="en-US" w:eastAsia="zh-CN"/>
        </w:rPr>
        <w:t>通过数据标准构建、元数据管理、数据质量管控、数据安全管理、分类分级、数据中台、数据模型设计等方法与技术，加强数据全生命周期治理，提升数据管理的智能化水平，激活数据要素价值。</w:t>
      </w:r>
    </w:p>
    <w:p w14:paraId="05BC4499">
      <w:pPr>
        <w:spacing w:after="0" w:line="360" w:lineRule="auto"/>
        <w:ind w:firstLine="720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四、</w:t>
      </w:r>
      <w:r>
        <w:rPr>
          <w:rFonts w:hint="default" w:ascii="黑体" w:hAnsi="黑体" w:eastAsia="黑体" w:cs="黑体"/>
          <w:b w:val="0"/>
          <w:bCs w:val="0"/>
          <w:sz w:val="32"/>
          <w:szCs w:val="32"/>
          <w:lang w:eastAsia="zh-CN"/>
        </w:rPr>
        <w:t>交易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  <w:lang w:eastAsia="zh-CN"/>
        </w:rPr>
        <w:t>系统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领域</w:t>
      </w:r>
    </w:p>
    <w:p w14:paraId="17FA3DDD">
      <w:pPr>
        <w:spacing w:after="0" w:line="360" w:lineRule="auto"/>
        <w:ind w:firstLine="720"/>
        <w:rPr>
          <w:rFonts w:hint="default" w:ascii="仿宋_GB2312" w:hAnsi="仿宋" w:eastAsia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" w:eastAsia="仿宋_GB2312"/>
          <w:b w:val="0"/>
          <w:bCs w:val="0"/>
          <w:sz w:val="32"/>
          <w:szCs w:val="32"/>
          <w:lang w:val="en-US" w:eastAsia="zh-CN"/>
        </w:rPr>
        <w:t>通过内存管理、GPU、FPGA、总线设计、作业调度、低时延网卡、分布式架构、高性能云原生等相关技术，降低系统时延，提高数据处理能力。通过容灾与备份、应急处置、混沌工程、全链路时延监测、自动化测试等相关技术，实现系统高可靠，保障业务连续性。探索核心系统风险管理、上线变更等领域的研究。</w:t>
      </w:r>
    </w:p>
    <w:p w14:paraId="1DC40ED5">
      <w:pPr>
        <w:spacing w:after="0" w:line="360" w:lineRule="auto"/>
        <w:ind w:firstLine="720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五、基础设施领域</w:t>
      </w:r>
    </w:p>
    <w:p w14:paraId="3B682538">
      <w:pPr>
        <w:spacing w:after="0" w:line="360" w:lineRule="auto"/>
        <w:ind w:firstLine="720"/>
        <w:rPr>
          <w:rFonts w:hint="eastAsia" w:ascii="仿宋_GB2312" w:hAnsi="仿宋" w:eastAsia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" w:eastAsia="仿宋_GB2312"/>
          <w:b w:val="0"/>
          <w:bCs w:val="0"/>
          <w:sz w:val="32"/>
          <w:szCs w:val="32"/>
          <w:lang w:val="en-US" w:eastAsia="zh-CN"/>
        </w:rPr>
        <w:t>围绕云平台、网络架构、服务器集群、数据中心等基础设施，探索AIOps、自动化运维、拓扑数据感知等技术应用，面向中小券商提升运维效能，加强底层资源的优化与管理，提升服务能力，强化数智化水平。</w:t>
      </w:r>
    </w:p>
    <w:sectPr>
      <w:footerReference r:id="rId5" w:type="default"/>
      <w:pgSz w:w="11906" w:h="16838"/>
      <w:pgMar w:top="1440" w:right="1800" w:bottom="1440" w:left="1800" w:header="851" w:footer="992" w:gutter="0"/>
      <w:cols w:space="425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Times New Roman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等线">
    <w:altName w:val="汉仪中宋简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汉仪中宋简">
    <w:panose1 w:val="02010600000101010101"/>
    <w:charset w:val="86"/>
    <w:family w:val="auto"/>
    <w:pitch w:val="default"/>
    <w:sig w:usb0="00000001" w:usb1="080E0800" w:usb2="00000002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00500000000000000"/>
    <w:charset w:val="86"/>
    <w:family w:val="modern"/>
    <w:pitch w:val="default"/>
    <w:sig w:usb0="A00002BF" w:usb1="584F6CFA" w:usb2="00000012" w:usb3="00000000" w:csb0="00040001" w:csb1="00000000"/>
  </w:font>
  <w:font w:name="仿宋">
    <w:altName w:val="方正仿宋_GBK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微软雅黑">
    <w:altName w:val="黑体"/>
    <w:panose1 w:val="020B0503020204020204"/>
    <w:charset w:val="86"/>
    <w:family w:val="swiss"/>
    <w:pitch w:val="default"/>
    <w:sig w:usb0="00000000" w:usb1="00000000" w:usb2="00000016" w:usb3="00000000" w:csb0="0004001F" w:csb1="00000000"/>
  </w:font>
  <w:font w:name="等线">
    <w:altName w:val="阿里巴巴普惠体 R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阿里巴巴普惠体 R">
    <w:panose1 w:val="00020600040101010101"/>
    <w:charset w:val="86"/>
    <w:family w:val="auto"/>
    <w:pitch w:val="default"/>
    <w:sig w:usb0="A00002FF" w:usb1="7ACF7CFB" w:usb2="0000001E" w:usb3="00000000" w:csb0="000400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sans-serif">
    <w:altName w:val="阿里巴巴普惠体 R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思源宋体 Medium">
    <w:panose1 w:val="02020400000000000000"/>
    <w:charset w:val="86"/>
    <w:family w:val="auto"/>
    <w:pitch w:val="default"/>
    <w:sig w:usb0="30000083" w:usb1="2BDF3C10" w:usb2="00000016" w:usb3="00000000" w:csb0="602E0107" w:csb1="00000000"/>
  </w:font>
  <w:font w:name="方正小标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国标仿宋">
    <w:panose1 w:val="02000500000000000000"/>
    <w:charset w:val="86"/>
    <w:family w:val="auto"/>
    <w:pitch w:val="default"/>
    <w:sig w:usb0="A00002BF" w:usb1="38C77CFA" w:usb2="00000016" w:usb3="00000000" w:csb0="00060007" w:csb1="00000000"/>
  </w:font>
  <w:font w:name="国标宋体">
    <w:panose1 w:val="02000500000000000000"/>
    <w:charset w:val="86"/>
    <w:family w:val="auto"/>
    <w:pitch w:val="default"/>
    <w:sig w:usb0="00000001" w:usb1="28000000" w:usb2="00000000" w:usb3="00000000" w:csb0="00060007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363E0DA">
    <w:pPr>
      <w:pStyle w:val="3"/>
    </w:pPr>
    <w:r>
      <w:rPr>
        <w:sz w:val="22"/>
      </w:rPr>
      <w:pict>
        <v:shape id="_x0000_s2049" o:spid="_x0000_s2049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 style="mso-fit-shape-to-text:t;">
            <w:txbxContent>
              <w:p w14:paraId="3FF35631">
                <w:pPr>
                  <w:pStyle w:val="3"/>
                  <w:rPr>
                    <w:rFonts w:hint="eastAsia" w:ascii="国标宋体" w:hAnsi="国标宋体" w:eastAsia="国标宋体" w:cs="国标宋体"/>
                    <w:sz w:val="28"/>
                    <w:szCs w:val="28"/>
                    <w:lang w:val="en-US" w:eastAsia="zh-CN"/>
                  </w:rPr>
                </w:pPr>
                <w:r>
                  <w:rPr>
                    <w:rFonts w:hint="eastAsia" w:ascii="国标宋体" w:hAnsi="国标宋体" w:eastAsia="国标宋体" w:cs="国标宋体"/>
                    <w:sz w:val="28"/>
                    <w:szCs w:val="28"/>
                    <w:lang w:val="en-US" w:eastAsia="zh-CN"/>
                  </w:rPr>
                  <w:t>-</w:t>
                </w:r>
                <w:r>
                  <w:rPr>
                    <w:rFonts w:hint="eastAsia" w:ascii="国标宋体" w:hAnsi="国标宋体" w:eastAsia="国标宋体" w:cs="国标宋体"/>
                    <w:sz w:val="28"/>
                    <w:szCs w:val="28"/>
                  </w:rPr>
                  <w:fldChar w:fldCharType="begin"/>
                </w:r>
                <w:r>
                  <w:rPr>
                    <w:rFonts w:hint="eastAsia" w:ascii="国标宋体" w:hAnsi="国标宋体" w:eastAsia="国标宋体" w:cs="国标宋体"/>
                    <w:sz w:val="28"/>
                    <w:szCs w:val="28"/>
                  </w:rPr>
                  <w:instrText xml:space="preserve"> PAGE  \* MERGEFORMAT </w:instrText>
                </w:r>
                <w:r>
                  <w:rPr>
                    <w:rFonts w:hint="eastAsia" w:ascii="国标宋体" w:hAnsi="国标宋体" w:eastAsia="国标宋体" w:cs="国标宋体"/>
                    <w:sz w:val="28"/>
                    <w:szCs w:val="28"/>
                  </w:rPr>
                  <w:fldChar w:fldCharType="separate"/>
                </w:r>
                <w:r>
                  <w:rPr>
                    <w:rFonts w:hint="eastAsia" w:ascii="国标宋体" w:hAnsi="国标宋体" w:eastAsia="国标宋体" w:cs="国标宋体"/>
                    <w:sz w:val="28"/>
                    <w:szCs w:val="28"/>
                  </w:rPr>
                  <w:t>1</w:t>
                </w:r>
                <w:r>
                  <w:rPr>
                    <w:rFonts w:hint="eastAsia" w:ascii="国标宋体" w:hAnsi="国标宋体" w:eastAsia="国标宋体" w:cs="国标宋体"/>
                    <w:sz w:val="28"/>
                    <w:szCs w:val="28"/>
                  </w:rPr>
                  <w:fldChar w:fldCharType="end"/>
                </w:r>
                <w:r>
                  <w:rPr>
                    <w:rFonts w:hint="eastAsia" w:ascii="国标宋体" w:hAnsi="国标宋体" w:eastAsia="国标宋体" w:cs="国标宋体"/>
                    <w:sz w:val="28"/>
                    <w:szCs w:val="28"/>
                    <w:lang w:val="en-US" w:eastAsia="zh-CN"/>
                  </w:rPr>
                  <w:t>-</w:t>
                </w:r>
              </w:p>
            </w:txbxContent>
          </v:textbox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59" w:lineRule="auto"/>
      </w:pPr>
      <w:r>
        <w:separator/>
      </w:r>
    </w:p>
  </w:footnote>
  <w:footnote w:type="continuationSeparator" w:id="1">
    <w:p>
      <w:pPr>
        <w:spacing w:before="0" w:after="0" w:line="259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720"/>
  <w:displayHorizontalDrawingGridEvery w:val="1"/>
  <w:displayVerticalDrawingGridEvery w:val="1"/>
  <w:noPunctuationKerning w:val="1"/>
  <w:characterSpacingControl w:val="doNotCompress"/>
  <w:hdrShapeDefaults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doNotExpandShiftReturn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ZGYzMjcyNzRjYjU5ZWY2YjBiMjY3ZjRhOGUxZWZiY2EifQ=="/>
  </w:docVars>
  <w:rsids>
    <w:rsidRoot w:val="00C04974"/>
    <w:rsid w:val="00017E37"/>
    <w:rsid w:val="000344F5"/>
    <w:rsid w:val="00076372"/>
    <w:rsid w:val="00080703"/>
    <w:rsid w:val="000F5B9C"/>
    <w:rsid w:val="001318B4"/>
    <w:rsid w:val="00164B79"/>
    <w:rsid w:val="001F18BA"/>
    <w:rsid w:val="00201F34"/>
    <w:rsid w:val="0021689D"/>
    <w:rsid w:val="002220CB"/>
    <w:rsid w:val="0029269F"/>
    <w:rsid w:val="002E273B"/>
    <w:rsid w:val="002E44AE"/>
    <w:rsid w:val="0030324A"/>
    <w:rsid w:val="00320636"/>
    <w:rsid w:val="00321C53"/>
    <w:rsid w:val="003465EE"/>
    <w:rsid w:val="00381C8E"/>
    <w:rsid w:val="003D720C"/>
    <w:rsid w:val="0043034A"/>
    <w:rsid w:val="00435275"/>
    <w:rsid w:val="004771BA"/>
    <w:rsid w:val="004C6B95"/>
    <w:rsid w:val="004D25A5"/>
    <w:rsid w:val="00566EB0"/>
    <w:rsid w:val="00573B52"/>
    <w:rsid w:val="005D41BE"/>
    <w:rsid w:val="00636EA4"/>
    <w:rsid w:val="006620E1"/>
    <w:rsid w:val="00664A92"/>
    <w:rsid w:val="00670928"/>
    <w:rsid w:val="00692116"/>
    <w:rsid w:val="00694C23"/>
    <w:rsid w:val="006B2871"/>
    <w:rsid w:val="006D28ED"/>
    <w:rsid w:val="00784737"/>
    <w:rsid w:val="0079149D"/>
    <w:rsid w:val="007C0321"/>
    <w:rsid w:val="007F5E3A"/>
    <w:rsid w:val="00897835"/>
    <w:rsid w:val="008B2CF7"/>
    <w:rsid w:val="008E3473"/>
    <w:rsid w:val="008F3036"/>
    <w:rsid w:val="008F6201"/>
    <w:rsid w:val="0095766E"/>
    <w:rsid w:val="009A6B25"/>
    <w:rsid w:val="009D12F0"/>
    <w:rsid w:val="009D4F6B"/>
    <w:rsid w:val="00A77AC4"/>
    <w:rsid w:val="00AA0D56"/>
    <w:rsid w:val="00AB4613"/>
    <w:rsid w:val="00AC3B1F"/>
    <w:rsid w:val="00AF7F94"/>
    <w:rsid w:val="00B12C1D"/>
    <w:rsid w:val="00B811C0"/>
    <w:rsid w:val="00BA650B"/>
    <w:rsid w:val="00BA71D0"/>
    <w:rsid w:val="00BA7B8C"/>
    <w:rsid w:val="00BE37AF"/>
    <w:rsid w:val="00C04974"/>
    <w:rsid w:val="00C25F5C"/>
    <w:rsid w:val="00C70F68"/>
    <w:rsid w:val="00C73E64"/>
    <w:rsid w:val="00C774E2"/>
    <w:rsid w:val="00CE078E"/>
    <w:rsid w:val="00CE48C6"/>
    <w:rsid w:val="00D14410"/>
    <w:rsid w:val="00E01A60"/>
    <w:rsid w:val="00E02048"/>
    <w:rsid w:val="00E401D0"/>
    <w:rsid w:val="00E766CB"/>
    <w:rsid w:val="00F17FFB"/>
    <w:rsid w:val="00F71B88"/>
    <w:rsid w:val="00F7606C"/>
    <w:rsid w:val="00F83436"/>
    <w:rsid w:val="00FD0A53"/>
    <w:rsid w:val="00FE2E48"/>
    <w:rsid w:val="02F74B0C"/>
    <w:rsid w:val="10521257"/>
    <w:rsid w:val="1BADD640"/>
    <w:rsid w:val="1BCB6B13"/>
    <w:rsid w:val="25322043"/>
    <w:rsid w:val="2CAF4FCD"/>
    <w:rsid w:val="2FDE2782"/>
    <w:rsid w:val="34BE6FD8"/>
    <w:rsid w:val="37176727"/>
    <w:rsid w:val="41820703"/>
    <w:rsid w:val="43912E12"/>
    <w:rsid w:val="4B3B7C10"/>
    <w:rsid w:val="4F50306C"/>
    <w:rsid w:val="5526759B"/>
    <w:rsid w:val="5CA5038F"/>
    <w:rsid w:val="5F3B6334"/>
    <w:rsid w:val="675B2E96"/>
    <w:rsid w:val="6E2642AF"/>
    <w:rsid w:val="6F6BF34C"/>
    <w:rsid w:val="6FB76AA4"/>
    <w:rsid w:val="72F372FD"/>
    <w:rsid w:val="7A7E4CCC"/>
    <w:rsid w:val="7BBCED26"/>
    <w:rsid w:val="7EFBF345"/>
    <w:rsid w:val="7F453F69"/>
    <w:rsid w:val="BF972423"/>
    <w:rsid w:val="D45624CE"/>
    <w:rsid w:val="DD5F1A1E"/>
    <w:rsid w:val="E727D4FC"/>
    <w:rsid w:val="EB7F86D9"/>
    <w:rsid w:val="EBF76847"/>
    <w:rsid w:val="F7E33CC0"/>
    <w:rsid w:val="FBE72DE3"/>
    <w:rsid w:val="FBF446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after="160" w:line="259" w:lineRule="auto"/>
      <w:jc w:val="both"/>
    </w:pPr>
    <w:rPr>
      <w:rFonts w:asciiTheme="minorHAnsi" w:hAnsiTheme="minorHAnsi" w:eastAsiaTheme="minorEastAsia" w:cstheme="minorBidi"/>
      <w:sz w:val="22"/>
      <w:szCs w:val="22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9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6">
    <w:name w:val="Default Paragraph Font"/>
    <w:unhideWhenUsed/>
    <w:qFormat/>
    <w:uiPriority w:val="1"/>
  </w:style>
  <w:style w:type="table" w:default="1" w:styleId="5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1"/>
    <w:unhideWhenUsed/>
    <w:qFormat/>
    <w:uiPriority w:val="99"/>
    <w:pPr>
      <w:tabs>
        <w:tab w:val="center" w:pos="4320"/>
        <w:tab w:val="right" w:pos="8640"/>
      </w:tabs>
      <w:spacing w:after="0" w:line="240" w:lineRule="auto"/>
    </w:pPr>
  </w:style>
  <w:style w:type="paragraph" w:styleId="4">
    <w:name w:val="header"/>
    <w:basedOn w:val="1"/>
    <w:link w:val="10"/>
    <w:unhideWhenUsed/>
    <w:qFormat/>
    <w:uiPriority w:val="99"/>
    <w:pPr>
      <w:tabs>
        <w:tab w:val="center" w:pos="4320"/>
        <w:tab w:val="right" w:pos="8640"/>
      </w:tabs>
      <w:spacing w:after="0" w:line="240" w:lineRule="auto"/>
    </w:pPr>
  </w:style>
  <w:style w:type="character" w:styleId="7">
    <w:name w:val="Emphasis"/>
    <w:basedOn w:val="6"/>
    <w:qFormat/>
    <w:uiPriority w:val="20"/>
    <w:rPr>
      <w:i/>
    </w:rPr>
  </w:style>
  <w:style w:type="character" w:styleId="8">
    <w:name w:val="Hyperlink"/>
    <w:basedOn w:val="6"/>
    <w:semiHidden/>
    <w:unhideWhenUsed/>
    <w:qFormat/>
    <w:uiPriority w:val="99"/>
    <w:rPr>
      <w:color w:val="0000FF"/>
      <w:u w:val="single"/>
    </w:rPr>
  </w:style>
  <w:style w:type="paragraph" w:customStyle="1" w:styleId="9">
    <w:name w:val="List Paragraph"/>
    <w:basedOn w:val="1"/>
    <w:qFormat/>
    <w:uiPriority w:val="34"/>
    <w:pPr>
      <w:ind w:left="720"/>
      <w:contextualSpacing/>
    </w:pPr>
  </w:style>
  <w:style w:type="character" w:customStyle="1" w:styleId="10">
    <w:name w:val="页眉 Char"/>
    <w:basedOn w:val="6"/>
    <w:link w:val="4"/>
    <w:qFormat/>
    <w:uiPriority w:val="99"/>
  </w:style>
  <w:style w:type="character" w:customStyle="1" w:styleId="11">
    <w:name w:val="页脚 Char"/>
    <w:basedOn w:val="6"/>
    <w:link w:val="3"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2049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560</Words>
  <Characters>573</Characters>
  <Lines>4</Lines>
  <Paragraphs>1</Paragraphs>
  <TotalTime>4</TotalTime>
  <ScaleCrop>false</ScaleCrop>
  <LinksUpToDate>false</LinksUpToDate>
  <CharactersWithSpaces>578</CharactersWithSpaces>
  <Application>WPS Office_12.8.2.20327_F1E327BC-269C-435d-A152-05C5408002CA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2019-07-25T23:12:00Z</dcterms:created>
  <dc:creator>陆伟</dc:creator>
  <cp:lastModifiedBy>xinwang2</cp:lastModifiedBy>
  <dcterms:modified xsi:type="dcterms:W3CDTF">2025-07-29T17:29:34Z</dcterms:modified>
  <cp:revision>42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2052-12.8.2.20327</vt:lpwstr>
  </property>
  <property fmtid="{D5CDD505-2E9C-101B-9397-08002B2CF9AE}" pid="3" name="ICV">
    <vt:lpwstr>87190215F44E489585F2BE7A38EFA922</vt:lpwstr>
  </property>
</Properties>
</file>